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10" w:rsidRDefault="00EF6A10" w:rsidP="00EF6A1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Informaţie</w:t>
      </w:r>
    </w:p>
    <w:p w:rsidR="00EF6A10" w:rsidRDefault="00EF6A10" w:rsidP="00EF6A1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despre situaţia social-economică a r-lui REZINA</w:t>
      </w:r>
    </w:p>
    <w:p w:rsidR="00EF6A10" w:rsidRDefault="00EF6A10" w:rsidP="00EF6A1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pentru trim. II 2019</w:t>
      </w:r>
    </w:p>
    <w:p w:rsidR="00EF6A10" w:rsidRDefault="00EF6A10" w:rsidP="00EF6A10">
      <w:pPr>
        <w:spacing w:after="0"/>
        <w:jc w:val="center"/>
        <w:rPr>
          <w:rFonts w:ascii="Times New Roman" w:hAnsi="Times New Roman" w:cs="Times New Roman"/>
          <w:sz w:val="28"/>
          <w:szCs w:val="28"/>
          <w:lang w:val="ro-RO"/>
        </w:rPr>
      </w:pPr>
    </w:p>
    <w:p w:rsidR="00EF6A10" w:rsidRDefault="00EF6A10" w:rsidP="00EF6A1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În raionul Rezina activează 6540 agenţi economici, cu drept de persoană fizică 5540, dintre care întreprinderi individuale 390 unitati, gospodarii ţaraneşti 5150, cu drept de persoană juridică 1000. Întreprinderile mici si mijlocii deţin circa 90% din numarul total de intreprinderi, şi reflectă îmbunataţirea mediului de afaceri, cît şi perfecţionarea cadrului regulatoriu ce ţine de activitatea antreprenorială.</w:t>
      </w:r>
    </w:p>
    <w:p w:rsidR="00EF6A10" w:rsidRDefault="00EF6A10" w:rsidP="00EF6A10">
      <w:pPr>
        <w:jc w:val="center"/>
        <w:rPr>
          <w:rFonts w:ascii="Times New Roman" w:hAnsi="Times New Roman" w:cs="Times New Roman"/>
          <w:b/>
          <w:sz w:val="28"/>
          <w:szCs w:val="28"/>
          <w:lang w:val="ro-RO"/>
        </w:rPr>
      </w:pPr>
      <w:r>
        <w:rPr>
          <w:rFonts w:ascii="Times New Roman" w:hAnsi="Times New Roman" w:cs="Times New Roman"/>
          <w:b/>
          <w:sz w:val="28"/>
          <w:szCs w:val="28"/>
          <w:lang w:val="ro-RO"/>
        </w:rPr>
        <w:t>Industria</w:t>
      </w:r>
    </w:p>
    <w:p w:rsidR="00EF6A10" w:rsidRDefault="00EF6A10" w:rsidP="00EF6A10">
      <w:pPr>
        <w:jc w:val="both"/>
        <w:rPr>
          <w:rFonts w:ascii="Times New Roman" w:hAnsi="Times New Roman" w:cs="Times New Roman"/>
          <w:sz w:val="28"/>
          <w:szCs w:val="28"/>
          <w:lang w:val="ro-RO"/>
        </w:rPr>
      </w:pP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În aceasta ramura  activează  </w:t>
      </w:r>
      <w:r>
        <w:rPr>
          <w:rFonts w:ascii="Times New Roman" w:hAnsi="Times New Roman" w:cs="Times New Roman"/>
          <w:b/>
          <w:sz w:val="28"/>
          <w:szCs w:val="28"/>
          <w:lang w:val="ro-RO"/>
        </w:rPr>
        <w:t>9</w:t>
      </w:r>
      <w:r>
        <w:rPr>
          <w:rFonts w:ascii="Times New Roman" w:hAnsi="Times New Roman" w:cs="Times New Roman"/>
          <w:sz w:val="28"/>
          <w:szCs w:val="28"/>
          <w:lang w:val="ro-RO"/>
        </w:rPr>
        <w:t xml:space="preserve"> agenţi economici. Cea mai mare întreprindere din raion este Lafarge Ciment (Moldova) SA, ce are cel mai sugestiv impact în dezvoltarea diferitor ramuri din teritoriu.</w:t>
      </w:r>
    </w:p>
    <w:p w:rsidR="00EF6A10" w:rsidRDefault="00EF6A10" w:rsidP="00EF6A10">
      <w:pPr>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Investiţiile</w:t>
      </w:r>
      <w:proofErr w:type="spellEnd"/>
    </w:p>
    <w:p w:rsidR="00EF6A10" w:rsidRDefault="00EF6A10" w:rsidP="00EF6A10">
      <w:pPr>
        <w:pStyle w:val="3"/>
        <w:spacing w:line="276" w:lineRule="auto"/>
        <w:rPr>
          <w:sz w:val="28"/>
          <w:szCs w:val="28"/>
        </w:rPr>
      </w:pPr>
      <w:r>
        <w:rPr>
          <w:sz w:val="28"/>
          <w:szCs w:val="28"/>
        </w:rPr>
        <w:t xml:space="preserve">    </w:t>
      </w:r>
      <w:r>
        <w:rPr>
          <w:sz w:val="28"/>
          <w:szCs w:val="28"/>
        </w:rPr>
        <w:tab/>
        <w:t xml:space="preserve">Din contul tuturor surselor de finanţare realizate în economia raionului în perioada de raport au fost însuşite investiţii în active imobilizate în valoare de </w:t>
      </w:r>
      <w:r w:rsidR="00680D37">
        <w:rPr>
          <w:sz w:val="28"/>
          <w:szCs w:val="28"/>
        </w:rPr>
        <w:t>190,6</w:t>
      </w:r>
      <w:r>
        <w:rPr>
          <w:sz w:val="28"/>
          <w:szCs w:val="28"/>
        </w:rPr>
        <w:t xml:space="preserve"> mil lei (în prețuri curente), fiind  in crestere cu </w:t>
      </w:r>
      <w:r w:rsidR="00680D37">
        <w:rPr>
          <w:sz w:val="28"/>
          <w:szCs w:val="28"/>
        </w:rPr>
        <w:t>96,2</w:t>
      </w:r>
      <w:r>
        <w:rPr>
          <w:sz w:val="28"/>
          <w:szCs w:val="28"/>
        </w:rPr>
        <w:t xml:space="preserve">% (în prețuri comparabile) fata de perioada respectiva a anului trecut. Sursa principala de finanțare a investitiilor au fost mijloacele proprii ale investiturului, ponderea carora a constituit </w:t>
      </w:r>
      <w:r w:rsidR="00680D37">
        <w:rPr>
          <w:sz w:val="28"/>
          <w:szCs w:val="28"/>
        </w:rPr>
        <w:t>75,6</w:t>
      </w:r>
      <w:r>
        <w:rPr>
          <w:sz w:val="28"/>
          <w:szCs w:val="28"/>
        </w:rPr>
        <w:t xml:space="preserve"> mil lei, reprezentînd </w:t>
      </w:r>
      <w:r w:rsidR="00680D37">
        <w:rPr>
          <w:sz w:val="28"/>
          <w:szCs w:val="28"/>
        </w:rPr>
        <w:t>83,0</w:t>
      </w:r>
      <w:r>
        <w:rPr>
          <w:sz w:val="28"/>
          <w:szCs w:val="28"/>
        </w:rPr>
        <w:t xml:space="preserve">% din valoarea totală a mijloacelor utilizate. Iar pentru asigurarea investițiilor din contul surselor bugetare, au fost utilizate </w:t>
      </w:r>
      <w:r w:rsidR="00680D37">
        <w:rPr>
          <w:sz w:val="28"/>
          <w:szCs w:val="28"/>
        </w:rPr>
        <w:t>8,7 mil</w:t>
      </w:r>
      <w:r>
        <w:rPr>
          <w:sz w:val="28"/>
          <w:szCs w:val="28"/>
        </w:rPr>
        <w:t xml:space="preserve"> lei, ceia ce constitiuie</w:t>
      </w:r>
      <w:r w:rsidR="00680D37">
        <w:rPr>
          <w:sz w:val="28"/>
          <w:szCs w:val="28"/>
        </w:rPr>
        <w:t xml:space="preserve"> 4,5</w:t>
      </w:r>
      <w:r>
        <w:rPr>
          <w:sz w:val="28"/>
          <w:szCs w:val="28"/>
        </w:rPr>
        <w:t>% din total investiții.</w:t>
      </w:r>
    </w:p>
    <w:p w:rsidR="00EF6A10" w:rsidRDefault="00EF6A10" w:rsidP="00EF6A10">
      <w:pPr>
        <w:pStyle w:val="3"/>
        <w:spacing w:line="276" w:lineRule="auto"/>
        <w:rPr>
          <w:sz w:val="28"/>
          <w:szCs w:val="28"/>
        </w:rPr>
      </w:pPr>
      <w:r>
        <w:rPr>
          <w:b/>
          <w:sz w:val="28"/>
          <w:szCs w:val="28"/>
        </w:rPr>
        <w:t xml:space="preserve">          </w:t>
      </w:r>
    </w:p>
    <w:p w:rsidR="00EF6A10" w:rsidRDefault="00EF6A10" w:rsidP="00EF6A10">
      <w:pPr>
        <w:tabs>
          <w:tab w:val="left" w:pos="2580"/>
        </w:tabs>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Remunerarea muncii</w:t>
      </w:r>
    </w:p>
    <w:p w:rsidR="00EF6A10" w:rsidRDefault="00EF6A10" w:rsidP="00EF6A10">
      <w:pPr>
        <w:tabs>
          <w:tab w:val="left" w:pos="2127"/>
          <w:tab w:val="left" w:pos="2410"/>
        </w:tabs>
        <w:ind w:right="-2"/>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Salariul  mediu lunar al unui lucrător din sectorul economic (real) a constituit </w:t>
      </w:r>
      <w:r w:rsidR="00680D37">
        <w:rPr>
          <w:rFonts w:ascii="Times New Roman" w:hAnsi="Times New Roman" w:cs="Times New Roman"/>
          <w:sz w:val="28"/>
          <w:szCs w:val="28"/>
          <w:lang w:val="ro-RO"/>
        </w:rPr>
        <w:t>6884</w:t>
      </w:r>
      <w:r>
        <w:rPr>
          <w:rFonts w:ascii="Times New Roman" w:hAnsi="Times New Roman" w:cs="Times New Roman"/>
          <w:sz w:val="28"/>
          <w:szCs w:val="28"/>
          <w:lang w:val="ro-RO"/>
        </w:rPr>
        <w:t>,8 lei, sporind fața de aceeași per</w:t>
      </w:r>
      <w:r w:rsidR="00680D37">
        <w:rPr>
          <w:rFonts w:ascii="Times New Roman" w:hAnsi="Times New Roman" w:cs="Times New Roman"/>
          <w:sz w:val="28"/>
          <w:szCs w:val="28"/>
          <w:lang w:val="ro-RO"/>
        </w:rPr>
        <w:t>ioada a anului precedent cu 10,</w:t>
      </w:r>
      <w:r>
        <w:rPr>
          <w:rFonts w:ascii="Times New Roman" w:hAnsi="Times New Roman" w:cs="Times New Roman"/>
          <w:sz w:val="28"/>
          <w:szCs w:val="28"/>
          <w:lang w:val="ro-RO"/>
        </w:rPr>
        <w:t>%.</w:t>
      </w:r>
      <w:r>
        <w:rPr>
          <w:rFonts w:ascii="Times New Roman" w:hAnsi="Times New Roman" w:cs="Times New Roman"/>
          <w:b/>
          <w:sz w:val="28"/>
          <w:szCs w:val="28"/>
          <w:lang w:val="ro-RO"/>
        </w:rPr>
        <w:t xml:space="preserve">      </w:t>
      </w:r>
    </w:p>
    <w:p w:rsidR="00EF6A10" w:rsidRDefault="00EF6A10" w:rsidP="00EF6A10">
      <w:pPr>
        <w:pStyle w:val="1"/>
        <w:spacing w:before="360" w:after="240" w:line="276" w:lineRule="auto"/>
        <w:ind w:firstLine="567"/>
        <w:rPr>
          <w:rFonts w:ascii="Times New Roman" w:hAnsi="Times New Roman"/>
          <w:sz w:val="28"/>
          <w:szCs w:val="28"/>
          <w:lang w:val="ro-RO"/>
        </w:rPr>
      </w:pPr>
      <w:r>
        <w:rPr>
          <w:rFonts w:ascii="Times New Roman" w:hAnsi="Times New Roman"/>
          <w:sz w:val="28"/>
          <w:szCs w:val="28"/>
          <w:lang w:val="ro-RO"/>
        </w:rPr>
        <w:t>Transporturi</w:t>
      </w:r>
    </w:p>
    <w:p w:rsidR="00EF6A10" w:rsidRDefault="00112998" w:rsidP="00EF6A1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ianuarie-iunie</w:t>
      </w:r>
      <w:r w:rsidR="00EF6A10">
        <w:rPr>
          <w:rFonts w:ascii="Times New Roman" w:hAnsi="Times New Roman" w:cs="Times New Roman"/>
          <w:sz w:val="28"/>
          <w:szCs w:val="28"/>
          <w:lang w:val="ro-RO"/>
        </w:rPr>
        <w:t xml:space="preserve"> 2019 întreprinderile de transport rutier din raion au transportat </w:t>
      </w:r>
      <w:r w:rsidR="00680D37">
        <w:rPr>
          <w:rFonts w:ascii="Times New Roman" w:hAnsi="Times New Roman" w:cs="Times New Roman"/>
          <w:sz w:val="28"/>
          <w:szCs w:val="28"/>
          <w:lang w:val="ro-RO"/>
        </w:rPr>
        <w:t>987,1 mii tone de mărfuri, cu 11,5</w:t>
      </w:r>
      <w:r w:rsidR="00EF6A10">
        <w:rPr>
          <w:rFonts w:ascii="Times New Roman" w:hAnsi="Times New Roman" w:cs="Times New Roman"/>
          <w:sz w:val="28"/>
          <w:szCs w:val="28"/>
          <w:lang w:val="ro-RO"/>
        </w:rPr>
        <w:t xml:space="preserve">% mai mult fată de perioada similară din anul 2018. Parcursul mărfurilor a totalizat </w:t>
      </w:r>
      <w:r w:rsidR="00680D37">
        <w:rPr>
          <w:rFonts w:ascii="Times New Roman" w:hAnsi="Times New Roman" w:cs="Times New Roman"/>
          <w:sz w:val="28"/>
          <w:szCs w:val="28"/>
          <w:lang w:val="ro-RO"/>
        </w:rPr>
        <w:t>43,5</w:t>
      </w:r>
      <w:r w:rsidR="00EF6A10">
        <w:rPr>
          <w:rFonts w:ascii="Times New Roman" w:hAnsi="Times New Roman" w:cs="Times New Roman"/>
          <w:sz w:val="28"/>
          <w:szCs w:val="28"/>
          <w:lang w:val="ro-RO"/>
        </w:rPr>
        <w:t xml:space="preserve"> mil. tone-km, cu </w:t>
      </w:r>
      <w:r w:rsidR="00680D37">
        <w:rPr>
          <w:rFonts w:ascii="Times New Roman" w:hAnsi="Times New Roman" w:cs="Times New Roman"/>
          <w:sz w:val="28"/>
          <w:szCs w:val="28"/>
          <w:lang w:val="ro-RO"/>
        </w:rPr>
        <w:t>1</w:t>
      </w:r>
      <w:r w:rsidR="00EF6A10">
        <w:rPr>
          <w:rFonts w:ascii="Times New Roman" w:hAnsi="Times New Roman" w:cs="Times New Roman"/>
          <w:sz w:val="28"/>
          <w:szCs w:val="28"/>
          <w:lang w:val="ro-RO"/>
        </w:rPr>
        <w:t>2</w:t>
      </w:r>
      <w:r w:rsidR="00680D37">
        <w:rPr>
          <w:rFonts w:ascii="Times New Roman" w:hAnsi="Times New Roman" w:cs="Times New Roman"/>
          <w:sz w:val="28"/>
          <w:szCs w:val="28"/>
          <w:lang w:val="ro-RO"/>
        </w:rPr>
        <w:t>,5</w:t>
      </w:r>
      <w:r w:rsidR="00EF6A10">
        <w:rPr>
          <w:rFonts w:ascii="Times New Roman" w:hAnsi="Times New Roman" w:cs="Times New Roman"/>
          <w:sz w:val="28"/>
          <w:szCs w:val="28"/>
          <w:lang w:val="ro-RO"/>
        </w:rPr>
        <w:t>% m</w:t>
      </w:r>
      <w:r>
        <w:rPr>
          <w:rFonts w:ascii="Times New Roman" w:hAnsi="Times New Roman" w:cs="Times New Roman"/>
          <w:sz w:val="28"/>
          <w:szCs w:val="28"/>
          <w:lang w:val="ro-RO"/>
        </w:rPr>
        <w:t>ai mult decât în ianuarie-iunie</w:t>
      </w:r>
      <w:r w:rsidR="00EF6A10">
        <w:rPr>
          <w:rFonts w:ascii="Times New Roman" w:hAnsi="Times New Roman" w:cs="Times New Roman"/>
          <w:sz w:val="28"/>
          <w:szCs w:val="28"/>
          <w:lang w:val="ro-RO"/>
        </w:rPr>
        <w:t xml:space="preserve"> 2018. Volumul mărfurilor transportate de către întreprinderile de transport rutier au constituit </w:t>
      </w:r>
      <w:r>
        <w:rPr>
          <w:rFonts w:ascii="Times New Roman" w:hAnsi="Times New Roman" w:cs="Times New Roman"/>
          <w:sz w:val="28"/>
          <w:szCs w:val="28"/>
          <w:lang w:val="ro-RO"/>
        </w:rPr>
        <w:t>16,8</w:t>
      </w:r>
      <w:r w:rsidR="00EF6A10">
        <w:rPr>
          <w:rFonts w:ascii="Times New Roman" w:hAnsi="Times New Roman" w:cs="Times New Roman"/>
          <w:sz w:val="28"/>
          <w:szCs w:val="28"/>
          <w:lang w:val="ro-RO"/>
        </w:rPr>
        <w:t xml:space="preserve">% din totalul volumului de mărfuri transportate de către întreprinderile de transport rutier din țară, parcursul mărfurilor fiind de </w:t>
      </w:r>
      <w:r>
        <w:rPr>
          <w:rFonts w:ascii="Times New Roman" w:hAnsi="Times New Roman" w:cs="Times New Roman"/>
          <w:sz w:val="28"/>
          <w:szCs w:val="28"/>
          <w:lang w:val="ro-RO"/>
        </w:rPr>
        <w:t>2,3</w:t>
      </w:r>
      <w:r w:rsidR="00EF6A10">
        <w:rPr>
          <w:rFonts w:ascii="Times New Roman" w:hAnsi="Times New Roman" w:cs="Times New Roman"/>
          <w:sz w:val="28"/>
          <w:szCs w:val="28"/>
          <w:lang w:val="ro-RO"/>
        </w:rPr>
        <w:t>%.</w:t>
      </w:r>
    </w:p>
    <w:p w:rsidR="00EF6A10" w:rsidRDefault="00EF6A10" w:rsidP="00EF6A10">
      <w:pPr>
        <w:tabs>
          <w:tab w:val="left" w:pos="2127"/>
          <w:tab w:val="left" w:pos="2410"/>
        </w:tabs>
        <w:ind w:right="-2"/>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Piaţa forţei de muncă</w:t>
      </w:r>
    </w:p>
    <w:p w:rsidR="00EF6A10" w:rsidRDefault="00EF6A10" w:rsidP="00EF6A10">
      <w:pPr>
        <w:tabs>
          <w:tab w:val="left" w:pos="567"/>
        </w:tabs>
        <w:ind w:right="-2"/>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b/>
        <w:t xml:space="preserve">Conform datelor Agenţiei Naţionale pentru Ocuparea Forţei de Muncă, la </w:t>
      </w:r>
      <w:r>
        <w:rPr>
          <w:rFonts w:ascii="Times New Roman" w:hAnsi="Times New Roman" w:cs="Times New Roman"/>
          <w:sz w:val="28"/>
          <w:szCs w:val="28"/>
          <w:lang w:val="ro-RO"/>
        </w:rPr>
        <w:t xml:space="preserve">1 </w:t>
      </w:r>
      <w:r w:rsidR="00112998">
        <w:rPr>
          <w:rFonts w:ascii="Times New Roman" w:hAnsi="Times New Roman" w:cs="Times New Roman"/>
          <w:sz w:val="28"/>
          <w:szCs w:val="28"/>
          <w:lang w:val="ro-RO"/>
        </w:rPr>
        <w:t>iuli</w:t>
      </w:r>
      <w:r>
        <w:rPr>
          <w:rFonts w:ascii="Times New Roman" w:hAnsi="Times New Roman" w:cs="Times New Roman"/>
          <w:sz w:val="28"/>
          <w:szCs w:val="28"/>
          <w:lang w:val="ro-RO"/>
        </w:rPr>
        <w:t>e 2019</w:t>
      </w:r>
      <w:r>
        <w:rPr>
          <w:rFonts w:ascii="Times New Roman" w:hAnsi="Times New Roman" w:cs="Times New Roman"/>
          <w:color w:val="000000"/>
          <w:sz w:val="28"/>
          <w:szCs w:val="28"/>
          <w:lang w:val="ro-RO"/>
        </w:rPr>
        <w:t xml:space="preserve"> în căutarea unui loc de muncă se aflau 295 şomeri înregistraţi, fiecare al doilea fiind disponibilizat de la unităţile economice. Din numărul total de şomeri, 52,5 la sută o constituie femeile. Circa </w:t>
      </w:r>
      <w:r w:rsidR="00112998">
        <w:rPr>
          <w:rFonts w:ascii="Times New Roman" w:hAnsi="Times New Roman" w:cs="Times New Roman"/>
          <w:color w:val="000000"/>
          <w:sz w:val="28"/>
          <w:szCs w:val="28"/>
          <w:lang w:val="ro-RO"/>
        </w:rPr>
        <w:t>18,1</w:t>
      </w:r>
      <w:r>
        <w:rPr>
          <w:rFonts w:ascii="Times New Roman" w:hAnsi="Times New Roman" w:cs="Times New Roman"/>
          <w:color w:val="000000"/>
          <w:sz w:val="28"/>
          <w:szCs w:val="28"/>
          <w:lang w:val="ro-RO"/>
        </w:rPr>
        <w:t xml:space="preserve"> % din somerii înregistrati de la începutul anului beneficiază de ajutor de şomaj, mărimea medi</w:t>
      </w:r>
      <w:r w:rsidR="00112998">
        <w:rPr>
          <w:rFonts w:ascii="Times New Roman" w:hAnsi="Times New Roman" w:cs="Times New Roman"/>
          <w:color w:val="000000"/>
          <w:sz w:val="28"/>
          <w:szCs w:val="28"/>
          <w:lang w:val="ro-RO"/>
        </w:rPr>
        <w:t>e a căruia a fost în luna iunie</w:t>
      </w:r>
      <w:r>
        <w:rPr>
          <w:rFonts w:ascii="Times New Roman" w:hAnsi="Times New Roman" w:cs="Times New Roman"/>
          <w:color w:val="000000"/>
          <w:sz w:val="28"/>
          <w:szCs w:val="28"/>
          <w:lang w:val="ro-RO"/>
        </w:rPr>
        <w:t xml:space="preserve"> </w:t>
      </w:r>
      <w:r>
        <w:rPr>
          <w:rFonts w:ascii="Times New Roman" w:hAnsi="Times New Roman" w:cs="Times New Roman"/>
          <w:sz w:val="28"/>
          <w:szCs w:val="28"/>
          <w:lang w:val="ro-RO"/>
        </w:rPr>
        <w:t>2019</w:t>
      </w:r>
      <w:r>
        <w:rPr>
          <w:rFonts w:ascii="Times New Roman" w:hAnsi="Times New Roman" w:cs="Times New Roman"/>
          <w:color w:val="000000"/>
          <w:sz w:val="28"/>
          <w:szCs w:val="28"/>
          <w:lang w:val="ro-RO"/>
        </w:rPr>
        <w:t xml:space="preserve"> de 1</w:t>
      </w:r>
      <w:r w:rsidR="00112998">
        <w:rPr>
          <w:rFonts w:ascii="Times New Roman" w:hAnsi="Times New Roman" w:cs="Times New Roman"/>
          <w:color w:val="000000"/>
          <w:sz w:val="28"/>
          <w:szCs w:val="28"/>
          <w:lang w:val="ro-RO"/>
        </w:rPr>
        <w:t>713,5</w:t>
      </w:r>
      <w:r>
        <w:rPr>
          <w:rFonts w:ascii="Times New Roman" w:hAnsi="Times New Roman" w:cs="Times New Roman"/>
          <w:color w:val="000000"/>
          <w:sz w:val="28"/>
          <w:szCs w:val="28"/>
          <w:lang w:val="ro-RO"/>
        </w:rPr>
        <w:t xml:space="preserve"> lei. La un loc liber de muncă, anunţat de către întreprinderi, reveneau în medie </w:t>
      </w:r>
      <w:r w:rsidR="00112998">
        <w:rPr>
          <w:rFonts w:ascii="Times New Roman" w:hAnsi="Times New Roman" w:cs="Times New Roman"/>
          <w:color w:val="000000"/>
          <w:sz w:val="28"/>
          <w:szCs w:val="28"/>
          <w:lang w:val="ro-RO"/>
        </w:rPr>
        <w:t>1,3</w:t>
      </w:r>
      <w:r>
        <w:rPr>
          <w:rFonts w:ascii="Times New Roman" w:hAnsi="Times New Roman" w:cs="Times New Roman"/>
          <w:color w:val="000000"/>
          <w:sz w:val="28"/>
          <w:szCs w:val="28"/>
          <w:lang w:val="ro-RO"/>
        </w:rPr>
        <w:t xml:space="preserve"> șomeri.</w:t>
      </w:r>
    </w:p>
    <w:p w:rsidR="00EF6A10" w:rsidRDefault="00EF6A10" w:rsidP="00EF6A10">
      <w:pPr>
        <w:tabs>
          <w:tab w:val="left" w:pos="2127"/>
          <w:tab w:val="left" w:pos="2410"/>
        </w:tabs>
        <w:spacing w:after="0"/>
        <w:ind w:right="-2"/>
        <w:jc w:val="center"/>
        <w:rPr>
          <w:rFonts w:ascii="Times New Roman" w:hAnsi="Times New Roman" w:cs="Times New Roman"/>
          <w:b/>
          <w:sz w:val="28"/>
          <w:szCs w:val="28"/>
          <w:lang w:val="ro-RO"/>
        </w:rPr>
      </w:pPr>
      <w:r>
        <w:rPr>
          <w:rFonts w:ascii="Times New Roman" w:hAnsi="Times New Roman" w:cs="Times New Roman"/>
          <w:b/>
          <w:sz w:val="28"/>
          <w:szCs w:val="28"/>
          <w:lang w:val="ro-RO"/>
        </w:rPr>
        <w:t>Situaţia demografică</w:t>
      </w:r>
    </w:p>
    <w:p w:rsidR="00EF6A10" w:rsidRDefault="00EF6A10" w:rsidP="00EF6A10">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Evolutia proceselo</w:t>
      </w:r>
      <w:r w:rsidR="00112998">
        <w:rPr>
          <w:rFonts w:ascii="Times New Roman" w:hAnsi="Times New Roman" w:cs="Times New Roman"/>
          <w:sz w:val="28"/>
          <w:szCs w:val="28"/>
          <w:lang w:val="ro-RO"/>
        </w:rPr>
        <w:t>r demografice în ianuarie-iunie</w:t>
      </w:r>
      <w:r>
        <w:rPr>
          <w:rFonts w:ascii="Times New Roman" w:hAnsi="Times New Roman" w:cs="Times New Roman"/>
          <w:sz w:val="28"/>
          <w:szCs w:val="28"/>
          <w:lang w:val="ro-RO"/>
        </w:rPr>
        <w:t xml:space="preserve"> 2019 se caracterizează prin următorii indicatori principali ai mișcării naturale a populatiei:</w:t>
      </w:r>
    </w:p>
    <w:tbl>
      <w:tblPr>
        <w:tblW w:w="9600" w:type="dxa"/>
        <w:jc w:val="center"/>
        <w:tblBorders>
          <w:top w:val="single" w:sz="4" w:space="0" w:color="auto"/>
          <w:bottom w:val="single" w:sz="4" w:space="0" w:color="auto"/>
          <w:insideH w:val="single" w:sz="4" w:space="0" w:color="auto"/>
          <w:insideV w:val="single" w:sz="4" w:space="0" w:color="auto"/>
        </w:tblBorders>
        <w:tblLayout w:type="fixed"/>
        <w:tblLook w:val="01E0"/>
      </w:tblPr>
      <w:tblGrid>
        <w:gridCol w:w="3120"/>
        <w:gridCol w:w="1860"/>
        <w:gridCol w:w="1860"/>
        <w:gridCol w:w="2760"/>
      </w:tblGrid>
      <w:tr w:rsidR="00EF6A10" w:rsidRPr="0094152B" w:rsidTr="00EF6A10">
        <w:trPr>
          <w:trHeight w:val="284"/>
          <w:jc w:val="center"/>
        </w:trPr>
        <w:tc>
          <w:tcPr>
            <w:tcW w:w="3120" w:type="dxa"/>
            <w:vMerge w:val="restart"/>
            <w:tcBorders>
              <w:top w:val="single" w:sz="4" w:space="0" w:color="auto"/>
              <w:left w:val="nil"/>
              <w:bottom w:val="single" w:sz="4" w:space="0" w:color="auto"/>
              <w:right w:val="single" w:sz="4" w:space="0" w:color="auto"/>
            </w:tcBorders>
            <w:vAlign w:val="center"/>
          </w:tcPr>
          <w:p w:rsidR="00EF6A10" w:rsidRDefault="00EF6A10">
            <w:pPr>
              <w:spacing w:after="0"/>
              <w:jc w:val="center"/>
              <w:rPr>
                <w:rFonts w:ascii="Times New Roman" w:hAnsi="Times New Roman" w:cs="Times New Roman"/>
                <w:sz w:val="28"/>
                <w:szCs w:val="28"/>
                <w:lang w:val="ro-RO"/>
              </w:rPr>
            </w:pP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EF6A10" w:rsidRDefault="00EF6A10">
            <w:pPr>
              <w:spacing w:after="0"/>
              <w:ind w:right="-107" w:hanging="107"/>
              <w:jc w:val="center"/>
              <w:rPr>
                <w:rFonts w:ascii="Times New Roman" w:hAnsi="Times New Roman" w:cs="Times New Roman"/>
                <w:sz w:val="28"/>
                <w:szCs w:val="28"/>
                <w:lang w:val="ro-RO"/>
              </w:rPr>
            </w:pPr>
            <w:r>
              <w:rPr>
                <w:rFonts w:ascii="Times New Roman" w:hAnsi="Times New Roman" w:cs="Times New Roman"/>
                <w:sz w:val="28"/>
                <w:szCs w:val="28"/>
                <w:lang w:val="ro-RO"/>
              </w:rPr>
              <w:t>Ianuarie-iunie</w:t>
            </w:r>
          </w:p>
        </w:tc>
        <w:tc>
          <w:tcPr>
            <w:tcW w:w="2760" w:type="dxa"/>
            <w:vMerge w:val="restart"/>
            <w:tcBorders>
              <w:top w:val="single" w:sz="4" w:space="0" w:color="auto"/>
              <w:left w:val="single" w:sz="4" w:space="0" w:color="auto"/>
              <w:bottom w:val="single" w:sz="4" w:space="0" w:color="auto"/>
              <w:right w:val="nil"/>
            </w:tcBorders>
            <w:vAlign w:val="center"/>
            <w:hideMark/>
          </w:tcPr>
          <w:p w:rsidR="00EF6A10" w:rsidRDefault="00EF6A10">
            <w:pPr>
              <w:spacing w:after="0"/>
              <w:ind w:right="-108"/>
              <w:jc w:val="center"/>
              <w:rPr>
                <w:rFonts w:ascii="Times New Roman" w:hAnsi="Times New Roman" w:cs="Times New Roman"/>
                <w:sz w:val="28"/>
                <w:szCs w:val="28"/>
                <w:lang w:val="ro-RO"/>
              </w:rPr>
            </w:pPr>
            <w:r>
              <w:rPr>
                <w:rFonts w:ascii="Times New Roman" w:hAnsi="Times New Roman" w:cs="Times New Roman"/>
                <w:sz w:val="28"/>
                <w:szCs w:val="28"/>
                <w:lang w:val="ro-RO"/>
              </w:rPr>
              <w:t>Ianuarie-</w:t>
            </w:r>
            <w:r w:rsidR="0094152B">
              <w:rPr>
                <w:rFonts w:ascii="Times New Roman" w:hAnsi="Times New Roman" w:cs="Times New Roman"/>
                <w:sz w:val="28"/>
                <w:szCs w:val="28"/>
                <w:lang w:val="ro-RO"/>
              </w:rPr>
              <w:t>iunie</w:t>
            </w:r>
            <w:r>
              <w:rPr>
                <w:rFonts w:ascii="Times New Roman" w:hAnsi="Times New Roman" w:cs="Times New Roman"/>
                <w:sz w:val="28"/>
                <w:szCs w:val="28"/>
                <w:lang w:val="ro-RO"/>
              </w:rPr>
              <w:t xml:space="preserve"> 2019</w:t>
            </w:r>
          </w:p>
          <w:p w:rsidR="00EF6A10" w:rsidRDefault="00EF6A10" w:rsidP="00112998">
            <w:pPr>
              <w:spacing w:after="0"/>
              <w:ind w:right="-108"/>
              <w:jc w:val="center"/>
              <w:rPr>
                <w:rFonts w:ascii="Times New Roman" w:hAnsi="Times New Roman" w:cs="Times New Roman"/>
                <w:sz w:val="28"/>
                <w:szCs w:val="28"/>
                <w:lang w:val="ro-RO"/>
              </w:rPr>
            </w:pPr>
            <w:r>
              <w:rPr>
                <w:rFonts w:ascii="Times New Roman" w:hAnsi="Times New Roman" w:cs="Times New Roman"/>
                <w:sz w:val="28"/>
                <w:szCs w:val="28"/>
                <w:lang w:val="ro-RO"/>
              </w:rPr>
              <w:t>în % fată de ianuarie-</w:t>
            </w:r>
            <w:r w:rsidR="00112998">
              <w:rPr>
                <w:rFonts w:ascii="Times New Roman" w:hAnsi="Times New Roman" w:cs="Times New Roman"/>
                <w:sz w:val="28"/>
                <w:szCs w:val="28"/>
                <w:lang w:val="ro-RO"/>
              </w:rPr>
              <w:t>iunie</w:t>
            </w:r>
            <w:r>
              <w:rPr>
                <w:rFonts w:ascii="Times New Roman" w:hAnsi="Times New Roman" w:cs="Times New Roman"/>
                <w:sz w:val="28"/>
                <w:szCs w:val="28"/>
                <w:lang w:val="ro-RO"/>
              </w:rPr>
              <w:t xml:space="preserve"> 2018</w:t>
            </w:r>
          </w:p>
        </w:tc>
      </w:tr>
      <w:tr w:rsidR="00EF6A10" w:rsidTr="00EF6A10">
        <w:trPr>
          <w:trHeight w:val="284"/>
          <w:jc w:val="center"/>
        </w:trPr>
        <w:tc>
          <w:tcPr>
            <w:tcW w:w="3120" w:type="dxa"/>
            <w:vMerge/>
            <w:tcBorders>
              <w:top w:val="single" w:sz="4" w:space="0" w:color="auto"/>
              <w:left w:val="nil"/>
              <w:bottom w:val="single" w:sz="4" w:space="0" w:color="auto"/>
              <w:right w:val="single" w:sz="4" w:space="0" w:color="auto"/>
            </w:tcBorders>
            <w:vAlign w:val="center"/>
            <w:hideMark/>
          </w:tcPr>
          <w:p w:rsidR="00EF6A10" w:rsidRDefault="00EF6A10">
            <w:pPr>
              <w:spacing w:after="0" w:line="240" w:lineRule="auto"/>
              <w:rPr>
                <w:rFonts w:ascii="Times New Roman" w:hAnsi="Times New Roman" w:cs="Times New Roman"/>
                <w:sz w:val="28"/>
                <w:szCs w:val="28"/>
                <w:lang w:val="ro-RO"/>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EF6A10" w:rsidRDefault="00EF6A10">
            <w:pPr>
              <w:spacing w:after="0"/>
              <w:ind w:right="-107" w:hanging="107"/>
              <w:jc w:val="center"/>
              <w:rPr>
                <w:rFonts w:ascii="Times New Roman" w:hAnsi="Times New Roman" w:cs="Times New Roman"/>
                <w:sz w:val="28"/>
                <w:szCs w:val="28"/>
                <w:vertAlign w:val="superscript"/>
                <w:lang w:val="ro-RO"/>
              </w:rPr>
            </w:pPr>
            <w:r>
              <w:rPr>
                <w:rFonts w:ascii="Times New Roman" w:hAnsi="Times New Roman" w:cs="Times New Roman"/>
                <w:sz w:val="28"/>
                <w:szCs w:val="28"/>
                <w:lang w:val="ro-RO"/>
              </w:rPr>
              <w:t>2018</w:t>
            </w:r>
          </w:p>
        </w:tc>
        <w:tc>
          <w:tcPr>
            <w:tcW w:w="1860" w:type="dxa"/>
            <w:tcBorders>
              <w:top w:val="single" w:sz="4" w:space="0" w:color="auto"/>
              <w:left w:val="single" w:sz="4" w:space="0" w:color="auto"/>
              <w:bottom w:val="single" w:sz="4" w:space="0" w:color="auto"/>
              <w:right w:val="single" w:sz="4" w:space="0" w:color="auto"/>
            </w:tcBorders>
            <w:vAlign w:val="center"/>
            <w:hideMark/>
          </w:tcPr>
          <w:p w:rsidR="00EF6A10" w:rsidRDefault="00EF6A10">
            <w:pPr>
              <w:spacing w:after="0"/>
              <w:ind w:right="-107" w:hanging="107"/>
              <w:jc w:val="center"/>
              <w:rPr>
                <w:rFonts w:ascii="Times New Roman" w:hAnsi="Times New Roman" w:cs="Times New Roman"/>
                <w:sz w:val="28"/>
                <w:szCs w:val="28"/>
                <w:vertAlign w:val="superscript"/>
                <w:lang w:val="ro-RO"/>
              </w:rPr>
            </w:pPr>
            <w:r>
              <w:rPr>
                <w:rFonts w:ascii="Times New Roman" w:hAnsi="Times New Roman" w:cs="Times New Roman"/>
                <w:sz w:val="28"/>
                <w:szCs w:val="28"/>
                <w:lang w:val="ro-RO"/>
              </w:rPr>
              <w:t>2019</w:t>
            </w:r>
            <w:r>
              <w:rPr>
                <w:rFonts w:ascii="Times New Roman" w:hAnsi="Times New Roman" w:cs="Times New Roman"/>
                <w:sz w:val="28"/>
                <w:szCs w:val="28"/>
                <w:vertAlign w:val="superscript"/>
                <w:lang w:val="ro-RO"/>
              </w:rPr>
              <w:t xml:space="preserve"> 1</w:t>
            </w:r>
          </w:p>
        </w:tc>
        <w:tc>
          <w:tcPr>
            <w:tcW w:w="2760" w:type="dxa"/>
            <w:vMerge/>
            <w:tcBorders>
              <w:top w:val="single" w:sz="4" w:space="0" w:color="auto"/>
              <w:left w:val="single" w:sz="4" w:space="0" w:color="auto"/>
              <w:bottom w:val="single" w:sz="4" w:space="0" w:color="auto"/>
              <w:right w:val="nil"/>
            </w:tcBorders>
            <w:vAlign w:val="center"/>
            <w:hideMark/>
          </w:tcPr>
          <w:p w:rsidR="00EF6A10" w:rsidRDefault="00EF6A10">
            <w:pPr>
              <w:spacing w:after="0" w:line="240" w:lineRule="auto"/>
              <w:rPr>
                <w:rFonts w:ascii="Times New Roman" w:hAnsi="Times New Roman" w:cs="Times New Roman"/>
                <w:sz w:val="28"/>
                <w:szCs w:val="28"/>
                <w:lang w:val="ro-RO"/>
              </w:rPr>
            </w:pPr>
          </w:p>
        </w:tc>
      </w:tr>
      <w:tr w:rsidR="00EF6A10" w:rsidTr="00EF6A10">
        <w:trPr>
          <w:trHeight w:val="284"/>
          <w:jc w:val="center"/>
        </w:trPr>
        <w:tc>
          <w:tcPr>
            <w:tcW w:w="3120" w:type="dxa"/>
            <w:tcBorders>
              <w:top w:val="nil"/>
              <w:left w:val="nil"/>
              <w:bottom w:val="nil"/>
              <w:right w:val="single" w:sz="4" w:space="0" w:color="auto"/>
            </w:tcBorders>
            <w:vAlign w:val="bottom"/>
            <w:hideMark/>
          </w:tcPr>
          <w:p w:rsidR="00EF6A10" w:rsidRDefault="00EF6A10">
            <w:pPr>
              <w:spacing w:before="40" w:after="0"/>
              <w:rPr>
                <w:rFonts w:ascii="Times New Roman" w:hAnsi="Times New Roman" w:cs="Times New Roman"/>
                <w:sz w:val="28"/>
                <w:szCs w:val="28"/>
                <w:lang w:val="ro-RO"/>
              </w:rPr>
            </w:pPr>
            <w:r>
              <w:rPr>
                <w:rFonts w:ascii="Times New Roman" w:hAnsi="Times New Roman" w:cs="Times New Roman"/>
                <w:sz w:val="28"/>
                <w:szCs w:val="28"/>
                <w:lang w:val="ro-RO"/>
              </w:rPr>
              <w:t>Născuti-vii, persoane</w:t>
            </w:r>
          </w:p>
        </w:tc>
        <w:tc>
          <w:tcPr>
            <w:tcW w:w="1860" w:type="dxa"/>
            <w:tcBorders>
              <w:top w:val="single" w:sz="4" w:space="0" w:color="auto"/>
              <w:left w:val="single" w:sz="4" w:space="0" w:color="auto"/>
              <w:bottom w:val="nil"/>
              <w:right w:val="nil"/>
            </w:tcBorders>
            <w:vAlign w:val="bottom"/>
            <w:hideMark/>
          </w:tcPr>
          <w:p w:rsidR="00EF6A10" w:rsidRDefault="00EF6A10" w:rsidP="00112998">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1</w:t>
            </w:r>
            <w:r w:rsidR="00112998">
              <w:rPr>
                <w:rFonts w:ascii="Times New Roman" w:hAnsi="Times New Roman" w:cs="Times New Roman"/>
                <w:sz w:val="28"/>
                <w:szCs w:val="28"/>
                <w:lang w:val="ro-RO"/>
              </w:rPr>
              <w:t>93</w:t>
            </w:r>
          </w:p>
        </w:tc>
        <w:tc>
          <w:tcPr>
            <w:tcW w:w="1860" w:type="dxa"/>
            <w:tcBorders>
              <w:top w:val="single" w:sz="4" w:space="0" w:color="auto"/>
              <w:left w:val="nil"/>
              <w:bottom w:val="nil"/>
              <w:right w:val="nil"/>
            </w:tcBorders>
            <w:vAlign w:val="bottom"/>
            <w:hideMark/>
          </w:tcPr>
          <w:p w:rsidR="00EF6A10" w:rsidRDefault="00112998">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169</w:t>
            </w:r>
          </w:p>
        </w:tc>
        <w:tc>
          <w:tcPr>
            <w:tcW w:w="2760" w:type="dxa"/>
            <w:tcBorders>
              <w:top w:val="single" w:sz="4" w:space="0" w:color="auto"/>
              <w:left w:val="nil"/>
              <w:bottom w:val="nil"/>
              <w:right w:val="nil"/>
            </w:tcBorders>
            <w:vAlign w:val="bottom"/>
            <w:hideMark/>
          </w:tcPr>
          <w:p w:rsidR="00EF6A10" w:rsidRDefault="00B90375">
            <w:pPr>
              <w:spacing w:before="40" w:after="0"/>
              <w:ind w:right="721"/>
              <w:jc w:val="center"/>
              <w:rPr>
                <w:rFonts w:ascii="Times New Roman" w:hAnsi="Times New Roman" w:cs="Times New Roman"/>
                <w:sz w:val="28"/>
                <w:szCs w:val="28"/>
                <w:lang w:val="ro-RO"/>
              </w:rPr>
            </w:pPr>
            <w:r>
              <w:rPr>
                <w:rFonts w:ascii="Times New Roman" w:hAnsi="Times New Roman" w:cs="Times New Roman"/>
                <w:sz w:val="28"/>
                <w:szCs w:val="28"/>
                <w:lang w:val="ro-RO"/>
              </w:rPr>
              <w:t>87,6</w:t>
            </w:r>
          </w:p>
        </w:tc>
      </w:tr>
      <w:tr w:rsidR="00EF6A10" w:rsidTr="00EF6A10">
        <w:trPr>
          <w:trHeight w:val="284"/>
          <w:jc w:val="center"/>
        </w:trPr>
        <w:tc>
          <w:tcPr>
            <w:tcW w:w="3120" w:type="dxa"/>
            <w:tcBorders>
              <w:top w:val="nil"/>
              <w:left w:val="nil"/>
              <w:bottom w:val="nil"/>
              <w:right w:val="single" w:sz="4" w:space="0" w:color="auto"/>
            </w:tcBorders>
            <w:vAlign w:val="bottom"/>
            <w:hideMark/>
          </w:tcPr>
          <w:p w:rsidR="00EF6A10" w:rsidRDefault="00EF6A10">
            <w:pPr>
              <w:spacing w:before="40" w:after="0"/>
              <w:rPr>
                <w:rFonts w:ascii="Times New Roman" w:hAnsi="Times New Roman" w:cs="Times New Roman"/>
                <w:sz w:val="28"/>
                <w:szCs w:val="28"/>
                <w:lang w:val="ro-RO"/>
              </w:rPr>
            </w:pPr>
            <w:r>
              <w:rPr>
                <w:rFonts w:ascii="Times New Roman" w:hAnsi="Times New Roman" w:cs="Times New Roman"/>
                <w:sz w:val="28"/>
                <w:szCs w:val="28"/>
                <w:lang w:val="ro-RO"/>
              </w:rPr>
              <w:t>Decedati, persoane</w:t>
            </w:r>
          </w:p>
        </w:tc>
        <w:tc>
          <w:tcPr>
            <w:tcW w:w="1860" w:type="dxa"/>
            <w:tcBorders>
              <w:top w:val="nil"/>
              <w:left w:val="single" w:sz="4" w:space="0" w:color="auto"/>
              <w:bottom w:val="nil"/>
              <w:right w:val="nil"/>
            </w:tcBorders>
            <w:vAlign w:val="bottom"/>
            <w:hideMark/>
          </w:tcPr>
          <w:p w:rsidR="00EF6A10" w:rsidRDefault="00B90375">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274</w:t>
            </w:r>
          </w:p>
        </w:tc>
        <w:tc>
          <w:tcPr>
            <w:tcW w:w="1860" w:type="dxa"/>
            <w:tcBorders>
              <w:top w:val="nil"/>
              <w:left w:val="nil"/>
              <w:bottom w:val="nil"/>
              <w:right w:val="nil"/>
            </w:tcBorders>
            <w:vAlign w:val="bottom"/>
            <w:hideMark/>
          </w:tcPr>
          <w:p w:rsidR="00EF6A10" w:rsidRDefault="00B90375">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340</w:t>
            </w:r>
          </w:p>
        </w:tc>
        <w:tc>
          <w:tcPr>
            <w:tcW w:w="2760" w:type="dxa"/>
            <w:tcBorders>
              <w:top w:val="nil"/>
              <w:left w:val="nil"/>
              <w:bottom w:val="nil"/>
              <w:right w:val="nil"/>
            </w:tcBorders>
            <w:vAlign w:val="bottom"/>
            <w:hideMark/>
          </w:tcPr>
          <w:p w:rsidR="00EF6A10" w:rsidRDefault="00EF6A10" w:rsidP="00B90375">
            <w:pPr>
              <w:spacing w:before="40" w:after="0"/>
              <w:ind w:right="721"/>
              <w:jc w:val="center"/>
              <w:rPr>
                <w:rFonts w:ascii="Times New Roman" w:hAnsi="Times New Roman" w:cs="Times New Roman"/>
                <w:sz w:val="28"/>
                <w:szCs w:val="28"/>
                <w:lang w:val="ro-RO"/>
              </w:rPr>
            </w:pPr>
            <w:r>
              <w:rPr>
                <w:rFonts w:ascii="Times New Roman" w:hAnsi="Times New Roman" w:cs="Times New Roman"/>
                <w:sz w:val="28"/>
                <w:szCs w:val="28"/>
                <w:lang w:val="ro-RO"/>
              </w:rPr>
              <w:t>12</w:t>
            </w:r>
            <w:r w:rsidR="00B90375">
              <w:rPr>
                <w:rFonts w:ascii="Times New Roman" w:hAnsi="Times New Roman" w:cs="Times New Roman"/>
                <w:sz w:val="28"/>
                <w:szCs w:val="28"/>
                <w:lang w:val="ro-RO"/>
              </w:rPr>
              <w:t>4</w:t>
            </w:r>
            <w:r>
              <w:rPr>
                <w:rFonts w:ascii="Times New Roman" w:hAnsi="Times New Roman" w:cs="Times New Roman"/>
                <w:sz w:val="28"/>
                <w:szCs w:val="28"/>
                <w:lang w:val="ro-RO"/>
              </w:rPr>
              <w:t>,</w:t>
            </w:r>
            <w:r w:rsidR="00B90375">
              <w:rPr>
                <w:rFonts w:ascii="Times New Roman" w:hAnsi="Times New Roman" w:cs="Times New Roman"/>
                <w:sz w:val="28"/>
                <w:szCs w:val="28"/>
                <w:lang w:val="ro-RO"/>
              </w:rPr>
              <w:t>1</w:t>
            </w:r>
          </w:p>
        </w:tc>
      </w:tr>
      <w:tr w:rsidR="00EF6A10" w:rsidTr="00EF6A10">
        <w:trPr>
          <w:trHeight w:val="284"/>
          <w:jc w:val="center"/>
        </w:trPr>
        <w:tc>
          <w:tcPr>
            <w:tcW w:w="3120" w:type="dxa"/>
            <w:tcBorders>
              <w:top w:val="nil"/>
              <w:left w:val="nil"/>
              <w:bottom w:val="nil"/>
              <w:right w:val="single" w:sz="4" w:space="0" w:color="auto"/>
            </w:tcBorders>
            <w:vAlign w:val="bottom"/>
            <w:hideMark/>
          </w:tcPr>
          <w:p w:rsidR="00EF6A10" w:rsidRDefault="00EF6A10">
            <w:pPr>
              <w:spacing w:before="40" w:after="0"/>
              <w:ind w:firstLine="176"/>
              <w:rPr>
                <w:rFonts w:ascii="Times New Roman" w:hAnsi="Times New Roman" w:cs="Times New Roman"/>
                <w:sz w:val="28"/>
                <w:szCs w:val="28"/>
                <w:lang w:val="ro-RO"/>
              </w:rPr>
            </w:pPr>
            <w:r>
              <w:rPr>
                <w:rFonts w:ascii="Times New Roman" w:hAnsi="Times New Roman" w:cs="Times New Roman"/>
                <w:sz w:val="28"/>
                <w:szCs w:val="28"/>
                <w:lang w:val="ro-RO"/>
              </w:rPr>
              <w:t>din care, copii sub 1 an</w:t>
            </w:r>
          </w:p>
        </w:tc>
        <w:tc>
          <w:tcPr>
            <w:tcW w:w="1860" w:type="dxa"/>
            <w:tcBorders>
              <w:top w:val="nil"/>
              <w:left w:val="single" w:sz="4" w:space="0" w:color="auto"/>
              <w:bottom w:val="nil"/>
              <w:right w:val="nil"/>
            </w:tcBorders>
            <w:vAlign w:val="bottom"/>
            <w:hideMark/>
          </w:tcPr>
          <w:p w:rsidR="00EF6A10" w:rsidRDefault="00EF6A10">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0</w:t>
            </w:r>
          </w:p>
        </w:tc>
        <w:tc>
          <w:tcPr>
            <w:tcW w:w="1860" w:type="dxa"/>
            <w:tcBorders>
              <w:top w:val="nil"/>
              <w:left w:val="nil"/>
              <w:bottom w:val="nil"/>
              <w:right w:val="nil"/>
            </w:tcBorders>
            <w:vAlign w:val="bottom"/>
            <w:hideMark/>
          </w:tcPr>
          <w:p w:rsidR="00EF6A10" w:rsidRDefault="00B90375">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2760" w:type="dxa"/>
            <w:tcBorders>
              <w:top w:val="nil"/>
              <w:left w:val="nil"/>
              <w:bottom w:val="nil"/>
              <w:right w:val="nil"/>
            </w:tcBorders>
            <w:vAlign w:val="bottom"/>
            <w:hideMark/>
          </w:tcPr>
          <w:p w:rsidR="00EF6A10" w:rsidRDefault="00EF6A10">
            <w:pPr>
              <w:spacing w:before="40" w:after="0"/>
              <w:ind w:right="721"/>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r>
      <w:tr w:rsidR="00EF6A10" w:rsidTr="00EF6A10">
        <w:trPr>
          <w:trHeight w:val="284"/>
          <w:jc w:val="center"/>
        </w:trPr>
        <w:tc>
          <w:tcPr>
            <w:tcW w:w="3120" w:type="dxa"/>
            <w:tcBorders>
              <w:top w:val="nil"/>
              <w:left w:val="nil"/>
              <w:bottom w:val="nil"/>
              <w:right w:val="single" w:sz="4" w:space="0" w:color="auto"/>
            </w:tcBorders>
            <w:vAlign w:val="bottom"/>
            <w:hideMark/>
          </w:tcPr>
          <w:p w:rsidR="00EF6A10" w:rsidRDefault="00EF6A10">
            <w:pPr>
              <w:spacing w:before="40" w:after="0"/>
              <w:rPr>
                <w:rFonts w:ascii="Times New Roman" w:hAnsi="Times New Roman" w:cs="Times New Roman"/>
                <w:sz w:val="28"/>
                <w:szCs w:val="28"/>
                <w:lang w:val="ro-RO"/>
              </w:rPr>
            </w:pPr>
            <w:r>
              <w:rPr>
                <w:rFonts w:ascii="Times New Roman" w:hAnsi="Times New Roman" w:cs="Times New Roman"/>
                <w:sz w:val="28"/>
                <w:szCs w:val="28"/>
                <w:lang w:val="ro-RO"/>
              </w:rPr>
              <w:t>Sporul natural</w:t>
            </w:r>
          </w:p>
        </w:tc>
        <w:tc>
          <w:tcPr>
            <w:tcW w:w="1860" w:type="dxa"/>
            <w:tcBorders>
              <w:top w:val="nil"/>
              <w:left w:val="single" w:sz="4" w:space="0" w:color="auto"/>
              <w:bottom w:val="nil"/>
              <w:right w:val="nil"/>
            </w:tcBorders>
            <w:vAlign w:val="bottom"/>
            <w:hideMark/>
          </w:tcPr>
          <w:p w:rsidR="00EF6A10" w:rsidRDefault="00EF6A10" w:rsidP="00B90375">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w:t>
            </w:r>
            <w:r w:rsidR="00B90375">
              <w:rPr>
                <w:rFonts w:ascii="Times New Roman" w:hAnsi="Times New Roman" w:cs="Times New Roman"/>
                <w:sz w:val="28"/>
                <w:szCs w:val="28"/>
                <w:lang w:val="ro-RO"/>
              </w:rPr>
              <w:t>81</w:t>
            </w:r>
          </w:p>
        </w:tc>
        <w:tc>
          <w:tcPr>
            <w:tcW w:w="1860" w:type="dxa"/>
            <w:tcBorders>
              <w:top w:val="nil"/>
              <w:left w:val="nil"/>
              <w:bottom w:val="nil"/>
              <w:right w:val="nil"/>
            </w:tcBorders>
            <w:vAlign w:val="bottom"/>
            <w:hideMark/>
          </w:tcPr>
          <w:p w:rsidR="00EF6A10" w:rsidRDefault="00EF6A10" w:rsidP="00B90375">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B90375">
              <w:rPr>
                <w:rFonts w:ascii="Times New Roman" w:hAnsi="Times New Roman" w:cs="Times New Roman"/>
                <w:sz w:val="28"/>
                <w:szCs w:val="28"/>
                <w:lang w:val="ro-RO"/>
              </w:rPr>
              <w:t>71</w:t>
            </w:r>
          </w:p>
        </w:tc>
        <w:tc>
          <w:tcPr>
            <w:tcW w:w="2760" w:type="dxa"/>
            <w:tcBorders>
              <w:top w:val="nil"/>
              <w:left w:val="nil"/>
              <w:bottom w:val="nil"/>
              <w:right w:val="nil"/>
            </w:tcBorders>
            <w:vAlign w:val="bottom"/>
            <w:hideMark/>
          </w:tcPr>
          <w:p w:rsidR="00EF6A10" w:rsidRDefault="00EF6A10" w:rsidP="00B90375">
            <w:pPr>
              <w:tabs>
                <w:tab w:val="left" w:pos="282"/>
              </w:tabs>
              <w:spacing w:before="40" w:after="0"/>
              <w:ind w:right="72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00B90375">
              <w:rPr>
                <w:rFonts w:ascii="Times New Roman" w:hAnsi="Times New Roman" w:cs="Times New Roman"/>
                <w:sz w:val="28"/>
                <w:szCs w:val="28"/>
                <w:lang w:val="ro-RO"/>
              </w:rPr>
              <w:t>11</w:t>
            </w:r>
            <w:r>
              <w:rPr>
                <w:rFonts w:ascii="Times New Roman" w:hAnsi="Times New Roman" w:cs="Times New Roman"/>
                <w:sz w:val="28"/>
                <w:szCs w:val="28"/>
                <w:lang w:val="ro-RO"/>
              </w:rPr>
              <w:t>,1 ori</w:t>
            </w:r>
          </w:p>
        </w:tc>
      </w:tr>
      <w:tr w:rsidR="00EF6A10" w:rsidTr="00EF6A10">
        <w:trPr>
          <w:trHeight w:val="284"/>
          <w:jc w:val="center"/>
        </w:trPr>
        <w:tc>
          <w:tcPr>
            <w:tcW w:w="3120" w:type="dxa"/>
            <w:tcBorders>
              <w:top w:val="nil"/>
              <w:left w:val="nil"/>
              <w:bottom w:val="nil"/>
              <w:right w:val="single" w:sz="4" w:space="0" w:color="auto"/>
            </w:tcBorders>
            <w:vAlign w:val="bottom"/>
            <w:hideMark/>
          </w:tcPr>
          <w:p w:rsidR="00EF6A10" w:rsidRDefault="00EF6A10">
            <w:pPr>
              <w:spacing w:before="40" w:after="0"/>
              <w:rPr>
                <w:rFonts w:ascii="Times New Roman" w:hAnsi="Times New Roman" w:cs="Times New Roman"/>
                <w:sz w:val="28"/>
                <w:szCs w:val="28"/>
                <w:lang w:val="ro-RO"/>
              </w:rPr>
            </w:pPr>
            <w:r>
              <w:rPr>
                <w:rFonts w:ascii="Times New Roman" w:hAnsi="Times New Roman" w:cs="Times New Roman"/>
                <w:sz w:val="28"/>
                <w:szCs w:val="28"/>
                <w:lang w:val="ro-RO"/>
              </w:rPr>
              <w:t>Numărul căsătoriilor</w:t>
            </w:r>
          </w:p>
        </w:tc>
        <w:tc>
          <w:tcPr>
            <w:tcW w:w="1860" w:type="dxa"/>
            <w:tcBorders>
              <w:top w:val="nil"/>
              <w:left w:val="single" w:sz="4" w:space="0" w:color="auto"/>
              <w:bottom w:val="nil"/>
              <w:right w:val="nil"/>
            </w:tcBorders>
            <w:vAlign w:val="bottom"/>
            <w:hideMark/>
          </w:tcPr>
          <w:p w:rsidR="00EF6A10" w:rsidRDefault="00B90375">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108</w:t>
            </w:r>
          </w:p>
        </w:tc>
        <w:tc>
          <w:tcPr>
            <w:tcW w:w="1860" w:type="dxa"/>
            <w:tcBorders>
              <w:top w:val="nil"/>
              <w:left w:val="nil"/>
              <w:bottom w:val="nil"/>
              <w:right w:val="nil"/>
            </w:tcBorders>
            <w:vAlign w:val="bottom"/>
            <w:hideMark/>
          </w:tcPr>
          <w:p w:rsidR="00EF6A10" w:rsidRDefault="00B90375">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133</w:t>
            </w:r>
          </w:p>
        </w:tc>
        <w:tc>
          <w:tcPr>
            <w:tcW w:w="2760" w:type="dxa"/>
            <w:tcBorders>
              <w:top w:val="nil"/>
              <w:left w:val="nil"/>
              <w:bottom w:val="nil"/>
              <w:right w:val="nil"/>
            </w:tcBorders>
            <w:vAlign w:val="bottom"/>
            <w:hideMark/>
          </w:tcPr>
          <w:p w:rsidR="00EF6A10" w:rsidRDefault="00B90375" w:rsidP="00B90375">
            <w:pPr>
              <w:spacing w:before="40" w:after="0"/>
              <w:ind w:right="721"/>
              <w:jc w:val="center"/>
              <w:rPr>
                <w:rFonts w:ascii="Times New Roman" w:hAnsi="Times New Roman" w:cs="Times New Roman"/>
                <w:sz w:val="28"/>
                <w:szCs w:val="28"/>
                <w:lang w:val="ro-RO"/>
              </w:rPr>
            </w:pPr>
            <w:r>
              <w:rPr>
                <w:rFonts w:ascii="Times New Roman" w:hAnsi="Times New Roman" w:cs="Times New Roman"/>
                <w:sz w:val="28"/>
                <w:szCs w:val="28"/>
                <w:lang w:val="ro-RO"/>
              </w:rPr>
              <w:t>123</w:t>
            </w:r>
            <w:r w:rsidR="00EF6A10">
              <w:rPr>
                <w:rFonts w:ascii="Times New Roman" w:hAnsi="Times New Roman" w:cs="Times New Roman"/>
                <w:sz w:val="28"/>
                <w:szCs w:val="28"/>
                <w:lang w:val="ro-RO"/>
              </w:rPr>
              <w:t>,</w:t>
            </w:r>
            <w:r>
              <w:rPr>
                <w:rFonts w:ascii="Times New Roman" w:hAnsi="Times New Roman" w:cs="Times New Roman"/>
                <w:sz w:val="28"/>
                <w:szCs w:val="28"/>
                <w:lang w:val="ro-RO"/>
              </w:rPr>
              <w:t>1</w:t>
            </w:r>
          </w:p>
        </w:tc>
      </w:tr>
      <w:tr w:rsidR="00EF6A10" w:rsidTr="00EF6A10">
        <w:trPr>
          <w:trHeight w:val="284"/>
          <w:jc w:val="center"/>
        </w:trPr>
        <w:tc>
          <w:tcPr>
            <w:tcW w:w="3120" w:type="dxa"/>
            <w:tcBorders>
              <w:top w:val="nil"/>
              <w:left w:val="nil"/>
              <w:bottom w:val="single" w:sz="4" w:space="0" w:color="auto"/>
              <w:right w:val="single" w:sz="4" w:space="0" w:color="auto"/>
            </w:tcBorders>
            <w:vAlign w:val="bottom"/>
            <w:hideMark/>
          </w:tcPr>
          <w:p w:rsidR="00EF6A10" w:rsidRDefault="00EF6A10">
            <w:pPr>
              <w:spacing w:before="40" w:after="0"/>
              <w:rPr>
                <w:rFonts w:ascii="Times New Roman" w:hAnsi="Times New Roman" w:cs="Times New Roman"/>
                <w:sz w:val="28"/>
                <w:szCs w:val="28"/>
                <w:lang w:val="ro-RO"/>
              </w:rPr>
            </w:pPr>
            <w:r>
              <w:rPr>
                <w:rFonts w:ascii="Times New Roman" w:hAnsi="Times New Roman" w:cs="Times New Roman"/>
                <w:sz w:val="28"/>
                <w:szCs w:val="28"/>
                <w:lang w:val="ro-RO"/>
              </w:rPr>
              <w:t>Numărul divorturilor</w:t>
            </w:r>
          </w:p>
        </w:tc>
        <w:tc>
          <w:tcPr>
            <w:tcW w:w="1860" w:type="dxa"/>
            <w:tcBorders>
              <w:top w:val="nil"/>
              <w:left w:val="single" w:sz="4" w:space="0" w:color="auto"/>
              <w:bottom w:val="single" w:sz="4" w:space="0" w:color="auto"/>
              <w:right w:val="nil"/>
            </w:tcBorders>
            <w:vAlign w:val="bottom"/>
            <w:hideMark/>
          </w:tcPr>
          <w:p w:rsidR="00EF6A10" w:rsidRDefault="00B90375">
            <w:pPr>
              <w:tabs>
                <w:tab w:val="left" w:pos="1131"/>
              </w:tabs>
              <w:spacing w:before="40" w:after="0"/>
              <w:ind w:right="371"/>
              <w:jc w:val="right"/>
              <w:rPr>
                <w:rFonts w:ascii="Times New Roman" w:hAnsi="Times New Roman" w:cs="Times New Roman"/>
                <w:sz w:val="28"/>
                <w:szCs w:val="28"/>
                <w:lang w:val="ro-RO"/>
              </w:rPr>
            </w:pPr>
            <w:r>
              <w:rPr>
                <w:rFonts w:ascii="Times New Roman" w:hAnsi="Times New Roman" w:cs="Times New Roman"/>
                <w:sz w:val="28"/>
                <w:szCs w:val="28"/>
                <w:lang w:val="ro-RO"/>
              </w:rPr>
              <w:t>144</w:t>
            </w:r>
          </w:p>
        </w:tc>
        <w:tc>
          <w:tcPr>
            <w:tcW w:w="1860" w:type="dxa"/>
            <w:tcBorders>
              <w:top w:val="nil"/>
              <w:left w:val="nil"/>
              <w:bottom w:val="single" w:sz="4" w:space="0" w:color="auto"/>
              <w:right w:val="nil"/>
            </w:tcBorders>
            <w:vAlign w:val="bottom"/>
            <w:hideMark/>
          </w:tcPr>
          <w:p w:rsidR="00EF6A10" w:rsidRDefault="00EF6A10" w:rsidP="00B90375">
            <w:pPr>
              <w:tabs>
                <w:tab w:val="left" w:pos="1131"/>
              </w:tabs>
              <w:spacing w:before="40" w:after="0"/>
              <w:ind w:right="371"/>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B90375">
              <w:rPr>
                <w:rFonts w:ascii="Times New Roman" w:hAnsi="Times New Roman" w:cs="Times New Roman"/>
                <w:sz w:val="28"/>
                <w:szCs w:val="28"/>
                <w:lang w:val="ro-RO"/>
              </w:rPr>
              <w:t>82</w:t>
            </w:r>
          </w:p>
        </w:tc>
        <w:tc>
          <w:tcPr>
            <w:tcW w:w="2760" w:type="dxa"/>
            <w:tcBorders>
              <w:top w:val="nil"/>
              <w:left w:val="nil"/>
              <w:bottom w:val="single" w:sz="4" w:space="0" w:color="auto"/>
              <w:right w:val="nil"/>
            </w:tcBorders>
            <w:vAlign w:val="bottom"/>
            <w:hideMark/>
          </w:tcPr>
          <w:p w:rsidR="00EF6A10" w:rsidRDefault="00B90375" w:rsidP="00B90375">
            <w:pPr>
              <w:spacing w:before="40" w:after="0"/>
              <w:ind w:right="721"/>
              <w:jc w:val="center"/>
              <w:rPr>
                <w:rFonts w:ascii="Times New Roman" w:hAnsi="Times New Roman" w:cs="Times New Roman"/>
                <w:sz w:val="28"/>
                <w:szCs w:val="28"/>
                <w:lang w:val="ro-RO"/>
              </w:rPr>
            </w:pPr>
            <w:r>
              <w:rPr>
                <w:rFonts w:ascii="Times New Roman" w:hAnsi="Times New Roman" w:cs="Times New Roman"/>
                <w:sz w:val="28"/>
                <w:szCs w:val="28"/>
                <w:lang w:val="ro-RO"/>
              </w:rPr>
              <w:t>126</w:t>
            </w:r>
            <w:r w:rsidR="00EF6A10">
              <w:rPr>
                <w:rFonts w:ascii="Times New Roman" w:hAnsi="Times New Roman" w:cs="Times New Roman"/>
                <w:sz w:val="28"/>
                <w:szCs w:val="28"/>
                <w:lang w:val="ro-RO"/>
              </w:rPr>
              <w:t>,</w:t>
            </w:r>
            <w:r>
              <w:rPr>
                <w:rFonts w:ascii="Times New Roman" w:hAnsi="Times New Roman" w:cs="Times New Roman"/>
                <w:sz w:val="28"/>
                <w:szCs w:val="28"/>
                <w:lang w:val="ro-RO"/>
              </w:rPr>
              <w:t>4</w:t>
            </w:r>
          </w:p>
        </w:tc>
      </w:tr>
    </w:tbl>
    <w:p w:rsidR="00EF6A10" w:rsidRDefault="00EF6A10" w:rsidP="00EF6A10">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Conform datelor preliminare, în ianuarie-</w:t>
      </w:r>
      <w:r w:rsidR="00B90375">
        <w:rPr>
          <w:rFonts w:ascii="Times New Roman" w:hAnsi="Times New Roman" w:cs="Times New Roman"/>
          <w:sz w:val="28"/>
          <w:szCs w:val="28"/>
          <w:lang w:val="ro-RO"/>
        </w:rPr>
        <w:t>iunie</w:t>
      </w:r>
      <w:r>
        <w:rPr>
          <w:rFonts w:ascii="Times New Roman" w:hAnsi="Times New Roman" w:cs="Times New Roman"/>
          <w:sz w:val="28"/>
          <w:szCs w:val="28"/>
          <w:lang w:val="ro-RO"/>
        </w:rPr>
        <w:t xml:space="preserve"> 2019 au fost înregistrați </w:t>
      </w:r>
      <w:r w:rsidR="00B90375">
        <w:rPr>
          <w:rFonts w:ascii="Times New Roman" w:hAnsi="Times New Roman" w:cs="Times New Roman"/>
          <w:sz w:val="28"/>
          <w:szCs w:val="28"/>
          <w:lang w:val="ro-RO"/>
        </w:rPr>
        <w:t>169</w:t>
      </w:r>
      <w:r>
        <w:rPr>
          <w:rFonts w:ascii="Times New Roman" w:hAnsi="Times New Roman" w:cs="Times New Roman"/>
          <w:sz w:val="28"/>
          <w:szCs w:val="28"/>
          <w:lang w:val="ro-RO"/>
        </w:rPr>
        <w:t xml:space="preserve"> născuți-vii, cu 1</w:t>
      </w:r>
      <w:r w:rsidR="00B90375">
        <w:rPr>
          <w:rFonts w:ascii="Times New Roman" w:hAnsi="Times New Roman" w:cs="Times New Roman"/>
          <w:sz w:val="28"/>
          <w:szCs w:val="28"/>
          <w:lang w:val="ro-RO"/>
        </w:rPr>
        <w:t>2</w:t>
      </w:r>
      <w:r>
        <w:rPr>
          <w:rFonts w:ascii="Times New Roman" w:hAnsi="Times New Roman" w:cs="Times New Roman"/>
          <w:sz w:val="28"/>
          <w:szCs w:val="28"/>
          <w:lang w:val="ro-RO"/>
        </w:rPr>
        <w:t>,</w:t>
      </w:r>
      <w:r w:rsidR="00B90375">
        <w:rPr>
          <w:rFonts w:ascii="Times New Roman" w:hAnsi="Times New Roman" w:cs="Times New Roman"/>
          <w:sz w:val="28"/>
          <w:szCs w:val="28"/>
          <w:lang w:val="ro-RO"/>
        </w:rPr>
        <w:t>4</w:t>
      </w:r>
      <w:r>
        <w:rPr>
          <w:rFonts w:ascii="Times New Roman" w:hAnsi="Times New Roman" w:cs="Times New Roman"/>
          <w:sz w:val="28"/>
          <w:szCs w:val="28"/>
          <w:lang w:val="ro-RO"/>
        </w:rPr>
        <w:t xml:space="preserve"> la sută mai puțin comparativ cu perioada similară din anul precedent. </w:t>
      </w:r>
    </w:p>
    <w:p w:rsidR="00EF6A10" w:rsidRDefault="00EF6A10" w:rsidP="00EF6A10">
      <w:pPr>
        <w:spacing w:before="120"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Numărul persoanelor decedate a fost de </w:t>
      </w:r>
      <w:r w:rsidR="00B90375">
        <w:rPr>
          <w:rFonts w:ascii="Times New Roman" w:hAnsi="Times New Roman" w:cs="Times New Roman"/>
          <w:sz w:val="28"/>
          <w:szCs w:val="28"/>
          <w:lang w:val="ro-RO"/>
        </w:rPr>
        <w:t>340, cu 24</w:t>
      </w:r>
      <w:r>
        <w:rPr>
          <w:rFonts w:ascii="Times New Roman" w:hAnsi="Times New Roman" w:cs="Times New Roman"/>
          <w:sz w:val="28"/>
          <w:szCs w:val="28"/>
          <w:lang w:val="ro-RO"/>
        </w:rPr>
        <w:t>,</w:t>
      </w:r>
      <w:r w:rsidR="00B90375">
        <w:rPr>
          <w:rFonts w:ascii="Times New Roman" w:hAnsi="Times New Roman" w:cs="Times New Roman"/>
          <w:sz w:val="28"/>
          <w:szCs w:val="28"/>
          <w:lang w:val="ro-RO"/>
        </w:rPr>
        <w:t>1</w:t>
      </w:r>
      <w:r>
        <w:rPr>
          <w:rFonts w:ascii="Times New Roman" w:hAnsi="Times New Roman" w:cs="Times New Roman"/>
          <w:sz w:val="28"/>
          <w:szCs w:val="28"/>
          <w:lang w:val="ro-RO"/>
        </w:rPr>
        <w:t>% mai mult comparativ cu perioada ianuarie-</w:t>
      </w:r>
      <w:r w:rsidR="00B90375">
        <w:rPr>
          <w:rFonts w:ascii="Times New Roman" w:hAnsi="Times New Roman" w:cs="Times New Roman"/>
          <w:sz w:val="28"/>
          <w:szCs w:val="28"/>
          <w:lang w:val="ro-RO"/>
        </w:rPr>
        <w:t>iunie</w:t>
      </w:r>
      <w:r>
        <w:rPr>
          <w:rFonts w:ascii="Times New Roman" w:hAnsi="Times New Roman" w:cs="Times New Roman"/>
          <w:sz w:val="28"/>
          <w:szCs w:val="28"/>
          <w:lang w:val="ro-RO"/>
        </w:rPr>
        <w:t xml:space="preserve"> 2018. În</w:t>
      </w:r>
      <w:r w:rsidR="00B90375">
        <w:rPr>
          <w:rFonts w:ascii="Times New Roman" w:hAnsi="Times New Roman" w:cs="Times New Roman"/>
          <w:sz w:val="28"/>
          <w:szCs w:val="28"/>
          <w:lang w:val="ro-RO"/>
        </w:rPr>
        <w:t xml:space="preserve"> acesta perioada au fost înregistrate 2 cazuri de deces al copiilor în </w:t>
      </w:r>
      <w:r>
        <w:rPr>
          <w:rFonts w:ascii="Times New Roman" w:hAnsi="Times New Roman" w:cs="Times New Roman"/>
          <w:sz w:val="28"/>
          <w:szCs w:val="28"/>
          <w:lang w:val="ro-RO"/>
        </w:rPr>
        <w:t>vîrstă sub 1 an</w:t>
      </w:r>
      <w:r w:rsidR="00B90375">
        <w:rPr>
          <w:rFonts w:ascii="Times New Roman" w:hAnsi="Times New Roman" w:cs="Times New Roman"/>
          <w:sz w:val="28"/>
          <w:szCs w:val="28"/>
          <w:lang w:val="ro-RO"/>
        </w:rPr>
        <w:t>, i</w:t>
      </w:r>
      <w:r>
        <w:rPr>
          <w:rFonts w:ascii="Times New Roman" w:hAnsi="Times New Roman" w:cs="Times New Roman"/>
          <w:sz w:val="28"/>
          <w:szCs w:val="28"/>
          <w:lang w:val="ro-RO"/>
        </w:rPr>
        <w:t>ar în 2018 in perioada respectivă astfel de decesuri nu au fost înregistrate.</w:t>
      </w:r>
    </w:p>
    <w:p w:rsidR="00EF6A10" w:rsidRDefault="00EF6A10" w:rsidP="00EF6A10">
      <w:pPr>
        <w:spacing w:before="120"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În ianuarie-</w:t>
      </w:r>
      <w:r w:rsidR="005966F3">
        <w:rPr>
          <w:rFonts w:ascii="Times New Roman" w:hAnsi="Times New Roman" w:cs="Times New Roman"/>
          <w:sz w:val="28"/>
          <w:szCs w:val="28"/>
          <w:lang w:val="ro-RO"/>
        </w:rPr>
        <w:t>iuni</w:t>
      </w:r>
      <w:r>
        <w:rPr>
          <w:rFonts w:ascii="Times New Roman" w:hAnsi="Times New Roman" w:cs="Times New Roman"/>
          <w:sz w:val="28"/>
          <w:szCs w:val="28"/>
          <w:lang w:val="ro-RO"/>
        </w:rPr>
        <w:t xml:space="preserve">e 2019 au fost înregistrate </w:t>
      </w:r>
      <w:r w:rsidR="005966F3">
        <w:rPr>
          <w:rFonts w:ascii="Times New Roman" w:hAnsi="Times New Roman" w:cs="Times New Roman"/>
          <w:sz w:val="28"/>
          <w:szCs w:val="28"/>
          <w:lang w:val="ro-RO"/>
        </w:rPr>
        <w:t>133</w:t>
      </w:r>
      <w:r>
        <w:rPr>
          <w:rFonts w:ascii="Times New Roman" w:hAnsi="Times New Roman" w:cs="Times New Roman"/>
          <w:sz w:val="28"/>
          <w:szCs w:val="28"/>
          <w:lang w:val="ro-RO"/>
        </w:rPr>
        <w:t xml:space="preserve"> căsătorii, numărul acestora </w:t>
      </w:r>
      <w:r w:rsidR="005966F3">
        <w:rPr>
          <w:rFonts w:ascii="Times New Roman" w:hAnsi="Times New Roman" w:cs="Times New Roman"/>
          <w:sz w:val="28"/>
          <w:szCs w:val="28"/>
          <w:lang w:val="ro-RO"/>
        </w:rPr>
        <w:t xml:space="preserve">majorînduse </w:t>
      </w:r>
      <w:r>
        <w:rPr>
          <w:rFonts w:ascii="Times New Roman" w:hAnsi="Times New Roman" w:cs="Times New Roman"/>
          <w:sz w:val="28"/>
          <w:szCs w:val="28"/>
          <w:lang w:val="ro-RO"/>
        </w:rPr>
        <w:t>cu 2</w:t>
      </w:r>
      <w:r w:rsidR="005966F3">
        <w:rPr>
          <w:rFonts w:ascii="Times New Roman" w:hAnsi="Times New Roman" w:cs="Times New Roman"/>
          <w:sz w:val="28"/>
          <w:szCs w:val="28"/>
          <w:lang w:val="ro-RO"/>
        </w:rPr>
        <w:t>5</w:t>
      </w:r>
      <w:r>
        <w:rPr>
          <w:rFonts w:ascii="Times New Roman" w:hAnsi="Times New Roman" w:cs="Times New Roman"/>
          <w:sz w:val="28"/>
          <w:szCs w:val="28"/>
          <w:lang w:val="ro-RO"/>
        </w:rPr>
        <w:t>, comparativ cu ianuarie-</w:t>
      </w:r>
      <w:r w:rsidR="005966F3">
        <w:rPr>
          <w:rFonts w:ascii="Times New Roman" w:hAnsi="Times New Roman" w:cs="Times New Roman"/>
          <w:sz w:val="28"/>
          <w:szCs w:val="28"/>
          <w:lang w:val="ro-RO"/>
        </w:rPr>
        <w:t>iunie</w:t>
      </w:r>
      <w:r>
        <w:rPr>
          <w:rFonts w:ascii="Times New Roman" w:hAnsi="Times New Roman" w:cs="Times New Roman"/>
          <w:sz w:val="28"/>
          <w:szCs w:val="28"/>
          <w:lang w:val="ro-RO"/>
        </w:rPr>
        <w:t xml:space="preserve"> 2018. Conform Hotărârilor Judecătorești numărul divorțurilor oficial înregistrate a fost de 1</w:t>
      </w:r>
      <w:r w:rsidR="005966F3">
        <w:rPr>
          <w:rFonts w:ascii="Times New Roman" w:hAnsi="Times New Roman" w:cs="Times New Roman"/>
          <w:sz w:val="28"/>
          <w:szCs w:val="28"/>
          <w:lang w:val="ro-RO"/>
        </w:rPr>
        <w:t>82</w:t>
      </w:r>
      <w:r>
        <w:rPr>
          <w:rFonts w:ascii="Times New Roman" w:hAnsi="Times New Roman" w:cs="Times New Roman"/>
          <w:sz w:val="28"/>
          <w:szCs w:val="28"/>
          <w:lang w:val="ro-RO"/>
        </w:rPr>
        <w:t>, cu 2</w:t>
      </w:r>
      <w:r w:rsidR="005966F3">
        <w:rPr>
          <w:rFonts w:ascii="Times New Roman" w:hAnsi="Times New Roman" w:cs="Times New Roman"/>
          <w:sz w:val="28"/>
          <w:szCs w:val="28"/>
          <w:lang w:val="ro-RO"/>
        </w:rPr>
        <w:t>6,4</w:t>
      </w:r>
      <w:r>
        <w:rPr>
          <w:rFonts w:ascii="Times New Roman" w:hAnsi="Times New Roman" w:cs="Times New Roman"/>
          <w:sz w:val="28"/>
          <w:szCs w:val="28"/>
          <w:lang w:val="ro-RO"/>
        </w:rPr>
        <w:t xml:space="preserve"> % mai mult față de perioada c</w:t>
      </w:r>
      <w:r w:rsidR="005966F3">
        <w:rPr>
          <w:rFonts w:ascii="Times New Roman" w:hAnsi="Times New Roman" w:cs="Times New Roman"/>
          <w:sz w:val="28"/>
          <w:szCs w:val="28"/>
          <w:lang w:val="ro-RO"/>
        </w:rPr>
        <w:t>orespunzătoare al anului trecut</w:t>
      </w:r>
      <w:r>
        <w:rPr>
          <w:rFonts w:ascii="Times New Roman" w:hAnsi="Times New Roman" w:cs="Times New Roman"/>
          <w:sz w:val="28"/>
          <w:szCs w:val="28"/>
          <w:lang w:val="ro-RO"/>
        </w:rPr>
        <w:t>.</w:t>
      </w:r>
    </w:p>
    <w:p w:rsidR="005966F3" w:rsidRPr="005966F3" w:rsidRDefault="005966F3" w:rsidP="00EF6A10">
      <w:pPr>
        <w:spacing w:before="120" w:after="0" w:line="240" w:lineRule="auto"/>
        <w:ind w:firstLine="567"/>
        <w:jc w:val="both"/>
        <w:rPr>
          <w:rFonts w:ascii="Times New Roman" w:hAnsi="Times New Roman" w:cs="Times New Roman"/>
          <w:sz w:val="16"/>
          <w:szCs w:val="16"/>
          <w:lang w:val="ro-RO"/>
        </w:rPr>
      </w:pPr>
    </w:p>
    <w:p w:rsidR="00EF6A10" w:rsidRDefault="00EF6A10" w:rsidP="00EF6A10">
      <w:pPr>
        <w:spacing w:before="200" w:after="60"/>
        <w:jc w:val="center"/>
        <w:rPr>
          <w:rFonts w:ascii="Times New Roman" w:hAnsi="Times New Roman" w:cs="Times New Roman"/>
          <w:b/>
          <w:i/>
          <w:sz w:val="28"/>
          <w:szCs w:val="28"/>
          <w:lang w:val="ro-RO"/>
        </w:rPr>
      </w:pPr>
      <w:r>
        <w:rPr>
          <w:rFonts w:ascii="Times New Roman" w:hAnsi="Times New Roman" w:cs="Times New Roman"/>
          <w:b/>
          <w:i/>
          <w:sz w:val="28"/>
          <w:szCs w:val="28"/>
          <w:lang w:val="ro-RO"/>
        </w:rPr>
        <w:t>Migrația internă</w:t>
      </w:r>
    </w:p>
    <w:p w:rsidR="00EF6A10" w:rsidRDefault="00EF6A10" w:rsidP="00EF6A10">
      <w:pPr>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datelor furnizate de către Registrul de Stat al Populației, in primele </w:t>
      </w:r>
      <w:r w:rsidR="005966F3">
        <w:rPr>
          <w:rFonts w:ascii="Times New Roman" w:hAnsi="Times New Roman" w:cs="Times New Roman"/>
          <w:sz w:val="28"/>
          <w:szCs w:val="28"/>
          <w:lang w:val="ro-RO"/>
        </w:rPr>
        <w:t>6</w:t>
      </w:r>
      <w:r>
        <w:rPr>
          <w:rFonts w:ascii="Times New Roman" w:hAnsi="Times New Roman" w:cs="Times New Roman"/>
          <w:sz w:val="28"/>
          <w:szCs w:val="28"/>
          <w:lang w:val="ro-RO"/>
        </w:rPr>
        <w:t xml:space="preserve"> luni ale anului 2019, în raion au sosit 12</w:t>
      </w:r>
      <w:r w:rsidR="005966F3">
        <w:rPr>
          <w:rFonts w:ascii="Times New Roman" w:hAnsi="Times New Roman" w:cs="Times New Roman"/>
          <w:sz w:val="28"/>
          <w:szCs w:val="28"/>
          <w:lang w:val="ro-RO"/>
        </w:rPr>
        <w:t>9</w:t>
      </w:r>
      <w:r>
        <w:rPr>
          <w:rFonts w:ascii="Times New Roman" w:hAnsi="Times New Roman" w:cs="Times New Roman"/>
          <w:sz w:val="28"/>
          <w:szCs w:val="28"/>
          <w:lang w:val="ro-RO"/>
        </w:rPr>
        <w:t xml:space="preserve"> persoane  și au plecat </w:t>
      </w:r>
      <w:r w:rsidR="005966F3">
        <w:rPr>
          <w:rFonts w:ascii="Times New Roman" w:hAnsi="Times New Roman" w:cs="Times New Roman"/>
          <w:sz w:val="28"/>
          <w:szCs w:val="28"/>
          <w:lang w:val="ro-RO"/>
        </w:rPr>
        <w:t>361</w:t>
      </w:r>
      <w:r>
        <w:rPr>
          <w:rFonts w:ascii="Times New Roman" w:hAnsi="Times New Roman" w:cs="Times New Roman"/>
          <w:sz w:val="28"/>
          <w:szCs w:val="28"/>
          <w:lang w:val="ro-RO"/>
        </w:rPr>
        <w:t xml:space="preserve"> persoane, prin urmare sporul migratoriu a constituit (-</w:t>
      </w:r>
      <w:r w:rsidR="005966F3">
        <w:rPr>
          <w:rFonts w:ascii="Times New Roman" w:hAnsi="Times New Roman" w:cs="Times New Roman"/>
          <w:sz w:val="28"/>
          <w:szCs w:val="28"/>
          <w:lang w:val="ro-RO"/>
        </w:rPr>
        <w:t>163</w:t>
      </w:r>
      <w:r>
        <w:rPr>
          <w:rFonts w:ascii="Times New Roman" w:hAnsi="Times New Roman" w:cs="Times New Roman"/>
          <w:sz w:val="28"/>
          <w:szCs w:val="28"/>
          <w:lang w:val="ro-RO"/>
        </w:rPr>
        <w:t xml:space="preserve">) persoane. </w:t>
      </w:r>
    </w:p>
    <w:p w:rsidR="001345A6" w:rsidRPr="00EF6A10" w:rsidRDefault="001345A6">
      <w:pPr>
        <w:rPr>
          <w:lang w:val="ro-RO"/>
        </w:rPr>
      </w:pPr>
    </w:p>
    <w:sectPr w:rsidR="001345A6" w:rsidRPr="00EF6A10" w:rsidSect="00D73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EF6A10"/>
    <w:rsid w:val="00112998"/>
    <w:rsid w:val="001345A6"/>
    <w:rsid w:val="005966F3"/>
    <w:rsid w:val="00680D37"/>
    <w:rsid w:val="0094152B"/>
    <w:rsid w:val="00B90375"/>
    <w:rsid w:val="00D73136"/>
    <w:rsid w:val="00EF6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36"/>
  </w:style>
  <w:style w:type="paragraph" w:styleId="1">
    <w:name w:val="heading 1"/>
    <w:basedOn w:val="a"/>
    <w:next w:val="a"/>
    <w:link w:val="10"/>
    <w:qFormat/>
    <w:rsid w:val="00EF6A10"/>
    <w:pPr>
      <w:keepNext/>
      <w:spacing w:after="0" w:line="240" w:lineRule="auto"/>
      <w:ind w:firstLine="720"/>
      <w:jc w:val="center"/>
      <w:outlineLvl w:val="0"/>
    </w:pPr>
    <w:rPr>
      <w:rFonts w:ascii="Arial" w:eastAsia="Times New Roman" w:hAnsi="Arial" w:cs="Times New Roman"/>
      <w:b/>
      <w:bCs/>
      <w:sz w:val="24"/>
      <w:szCs w:val="24"/>
      <w:lang w:val="ro-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6A10"/>
    <w:rPr>
      <w:rFonts w:ascii="Arial" w:eastAsia="Times New Roman" w:hAnsi="Arial" w:cs="Times New Roman"/>
      <w:b/>
      <w:bCs/>
      <w:sz w:val="24"/>
      <w:szCs w:val="24"/>
      <w:lang w:val="ro-MO"/>
    </w:rPr>
  </w:style>
  <w:style w:type="paragraph" w:styleId="3">
    <w:name w:val="Body Text 3"/>
    <w:basedOn w:val="a"/>
    <w:link w:val="30"/>
    <w:semiHidden/>
    <w:unhideWhenUsed/>
    <w:rsid w:val="00EF6A10"/>
    <w:pPr>
      <w:spacing w:after="0" w:line="360" w:lineRule="auto"/>
      <w:jc w:val="both"/>
    </w:pPr>
    <w:rPr>
      <w:rFonts w:ascii="Times New Roman" w:eastAsia="Times New Roman" w:hAnsi="Times New Roman" w:cs="Times New Roman"/>
      <w:sz w:val="24"/>
      <w:szCs w:val="24"/>
      <w:lang w:val="ro-RO"/>
    </w:rPr>
  </w:style>
  <w:style w:type="character" w:customStyle="1" w:styleId="30">
    <w:name w:val="Основной текст 3 Знак"/>
    <w:basedOn w:val="a0"/>
    <w:link w:val="3"/>
    <w:semiHidden/>
    <w:rsid w:val="00EF6A10"/>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9370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Economie</dc:creator>
  <cp:keywords/>
  <dc:description/>
  <cp:lastModifiedBy>Economie</cp:lastModifiedBy>
  <cp:revision>4</cp:revision>
  <dcterms:created xsi:type="dcterms:W3CDTF">2019-09-10T05:59:00Z</dcterms:created>
  <dcterms:modified xsi:type="dcterms:W3CDTF">2019-09-10T12:25:00Z</dcterms:modified>
</cp:coreProperties>
</file>